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77"/>
        <w:gridCol w:w="4478"/>
      </w:tblGrid>
      <w:tr w:rsidR="00BB6EBC" w:rsidRPr="00BB6EBC" w:rsidTr="00BB6EBC">
        <w:tc>
          <w:tcPr>
            <w:tcW w:w="4877" w:type="dxa"/>
            <w:tcBorders>
              <w:top w:val="nil"/>
              <w:left w:val="nil"/>
              <w:bottom w:val="nil"/>
              <w:right w:val="nil"/>
            </w:tcBorders>
          </w:tcPr>
          <w:p w:rsidR="00BB6EBC" w:rsidRPr="00BB6EBC" w:rsidRDefault="00BB6EBC">
            <w:pPr>
              <w:pStyle w:val="ConsPlusNormal"/>
              <w:rPr>
                <w:rFonts w:ascii="Times New Roman" w:hAnsi="Times New Roman" w:cs="Times New Roman"/>
                <w:sz w:val="26"/>
                <w:szCs w:val="26"/>
              </w:rPr>
            </w:pPr>
            <w:r w:rsidRPr="00BB6EBC">
              <w:rPr>
                <w:rFonts w:ascii="Times New Roman" w:hAnsi="Times New Roman" w:cs="Times New Roman"/>
                <w:sz w:val="26"/>
                <w:szCs w:val="26"/>
              </w:rPr>
              <w:t>7 мая 2012 года</w:t>
            </w:r>
          </w:p>
        </w:tc>
        <w:tc>
          <w:tcPr>
            <w:tcW w:w="4478" w:type="dxa"/>
            <w:tcBorders>
              <w:top w:val="nil"/>
              <w:left w:val="nil"/>
              <w:bottom w:val="nil"/>
              <w:right w:val="nil"/>
            </w:tcBorders>
          </w:tcPr>
          <w:p w:rsidR="00BB6EBC" w:rsidRPr="00BB6EBC" w:rsidRDefault="00BB6EBC">
            <w:pPr>
              <w:pStyle w:val="ConsPlusNormal"/>
              <w:jc w:val="right"/>
              <w:rPr>
                <w:rFonts w:ascii="Times New Roman" w:hAnsi="Times New Roman" w:cs="Times New Roman"/>
                <w:sz w:val="26"/>
                <w:szCs w:val="26"/>
              </w:rPr>
            </w:pPr>
            <w:r w:rsidRPr="00BB6EBC">
              <w:rPr>
                <w:rFonts w:ascii="Times New Roman" w:hAnsi="Times New Roman" w:cs="Times New Roman"/>
                <w:sz w:val="26"/>
                <w:szCs w:val="26"/>
              </w:rPr>
              <w:t>N 597</w:t>
            </w:r>
          </w:p>
        </w:tc>
      </w:tr>
    </w:tbl>
    <w:p w:rsidR="00BB6EBC" w:rsidRPr="00BB6EBC" w:rsidRDefault="00BB6EBC">
      <w:pPr>
        <w:pStyle w:val="ConsPlusNormal"/>
        <w:pBdr>
          <w:top w:val="single" w:sz="6" w:space="0" w:color="auto"/>
        </w:pBdr>
        <w:spacing w:before="100" w:after="100"/>
        <w:jc w:val="both"/>
        <w:rPr>
          <w:rFonts w:ascii="Times New Roman" w:hAnsi="Times New Roman" w:cs="Times New Roman"/>
          <w:sz w:val="26"/>
          <w:szCs w:val="26"/>
        </w:rPr>
      </w:pPr>
    </w:p>
    <w:p w:rsidR="00BB6EBC" w:rsidRPr="00BB6EBC" w:rsidRDefault="00BB6EBC">
      <w:pPr>
        <w:pStyle w:val="ConsPlusNormal"/>
        <w:ind w:firstLine="540"/>
        <w:jc w:val="both"/>
        <w:rPr>
          <w:rFonts w:ascii="Times New Roman" w:hAnsi="Times New Roman" w:cs="Times New Roman"/>
          <w:sz w:val="26"/>
          <w:szCs w:val="26"/>
        </w:rPr>
      </w:pPr>
    </w:p>
    <w:p w:rsidR="00BB6EBC" w:rsidRPr="00BB6EBC" w:rsidRDefault="00BB6EBC">
      <w:pPr>
        <w:pStyle w:val="ConsPlusTitle"/>
        <w:jc w:val="center"/>
        <w:rPr>
          <w:rFonts w:ascii="Times New Roman" w:hAnsi="Times New Roman" w:cs="Times New Roman"/>
          <w:sz w:val="26"/>
          <w:szCs w:val="26"/>
        </w:rPr>
      </w:pPr>
      <w:r w:rsidRPr="00BB6EBC">
        <w:rPr>
          <w:rFonts w:ascii="Times New Roman" w:hAnsi="Times New Roman" w:cs="Times New Roman"/>
          <w:sz w:val="26"/>
          <w:szCs w:val="26"/>
        </w:rPr>
        <w:t>УКАЗ</w:t>
      </w:r>
    </w:p>
    <w:p w:rsidR="00BB6EBC" w:rsidRPr="00BB6EBC" w:rsidRDefault="00BB6EBC">
      <w:pPr>
        <w:pStyle w:val="ConsPlusTitle"/>
        <w:jc w:val="center"/>
        <w:rPr>
          <w:rFonts w:ascii="Times New Roman" w:hAnsi="Times New Roman" w:cs="Times New Roman"/>
          <w:sz w:val="26"/>
          <w:szCs w:val="26"/>
        </w:rPr>
      </w:pPr>
    </w:p>
    <w:p w:rsidR="00BB6EBC" w:rsidRPr="00BB6EBC" w:rsidRDefault="00BB6EBC">
      <w:pPr>
        <w:pStyle w:val="ConsPlusTitle"/>
        <w:jc w:val="center"/>
        <w:rPr>
          <w:rFonts w:ascii="Times New Roman" w:hAnsi="Times New Roman" w:cs="Times New Roman"/>
          <w:sz w:val="26"/>
          <w:szCs w:val="26"/>
        </w:rPr>
      </w:pPr>
      <w:r w:rsidRPr="00BB6EBC">
        <w:rPr>
          <w:rFonts w:ascii="Times New Roman" w:hAnsi="Times New Roman" w:cs="Times New Roman"/>
          <w:sz w:val="26"/>
          <w:szCs w:val="26"/>
        </w:rPr>
        <w:t>ПРЕЗИДЕНТА РОССИЙСКОЙ ФЕДЕРАЦИИ</w:t>
      </w:r>
    </w:p>
    <w:p w:rsidR="00BB6EBC" w:rsidRPr="00BB6EBC" w:rsidRDefault="00BB6EBC">
      <w:pPr>
        <w:pStyle w:val="ConsPlusTitle"/>
        <w:jc w:val="center"/>
        <w:rPr>
          <w:rFonts w:ascii="Times New Roman" w:hAnsi="Times New Roman" w:cs="Times New Roman"/>
          <w:sz w:val="26"/>
          <w:szCs w:val="26"/>
        </w:rPr>
      </w:pPr>
    </w:p>
    <w:p w:rsidR="00BB6EBC" w:rsidRPr="00BB6EBC" w:rsidRDefault="00BB6EBC">
      <w:pPr>
        <w:pStyle w:val="ConsPlusTitle"/>
        <w:jc w:val="center"/>
        <w:rPr>
          <w:rFonts w:ascii="Times New Roman" w:hAnsi="Times New Roman" w:cs="Times New Roman"/>
          <w:sz w:val="26"/>
          <w:szCs w:val="26"/>
        </w:rPr>
      </w:pPr>
      <w:r w:rsidRPr="00BB6EBC">
        <w:rPr>
          <w:rFonts w:ascii="Times New Roman" w:hAnsi="Times New Roman" w:cs="Times New Roman"/>
          <w:sz w:val="26"/>
          <w:szCs w:val="26"/>
        </w:rPr>
        <w:t>О МЕРОПРИЯТИЯХ</w:t>
      </w:r>
    </w:p>
    <w:p w:rsidR="00BB6EBC" w:rsidRPr="00BB6EBC" w:rsidRDefault="00BB6EBC">
      <w:pPr>
        <w:pStyle w:val="ConsPlusTitle"/>
        <w:jc w:val="center"/>
        <w:rPr>
          <w:rFonts w:ascii="Times New Roman" w:hAnsi="Times New Roman" w:cs="Times New Roman"/>
          <w:sz w:val="26"/>
          <w:szCs w:val="26"/>
        </w:rPr>
      </w:pPr>
      <w:r w:rsidRPr="00BB6EBC">
        <w:rPr>
          <w:rFonts w:ascii="Times New Roman" w:hAnsi="Times New Roman" w:cs="Times New Roman"/>
          <w:sz w:val="26"/>
          <w:szCs w:val="26"/>
        </w:rPr>
        <w:t>ПО РЕАЛИЗАЦИИ ГОСУДАРСТВЕННОЙ СОЦИАЛЬНОЙ ПОЛИТИКИ</w:t>
      </w:r>
    </w:p>
    <w:p w:rsidR="00BB6EBC" w:rsidRPr="00BB6EBC" w:rsidRDefault="00BB6EBC">
      <w:pPr>
        <w:pStyle w:val="ConsPlusNormal"/>
        <w:ind w:firstLine="540"/>
        <w:jc w:val="both"/>
        <w:rPr>
          <w:rFonts w:ascii="Times New Roman" w:hAnsi="Times New Roman" w:cs="Times New Roman"/>
          <w:sz w:val="26"/>
          <w:szCs w:val="26"/>
        </w:rPr>
      </w:pP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В целях дальнейшего совершенствования государственной социальной политики постановляю:</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1. Правительству Российской Федерации:</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а) обеспечить:</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увеличение к 2018 году размера реальной заработной платы в 1,4 - 1,5 раза;</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доведение в 2012 году средней заработной плат</w:t>
      </w:r>
      <w:bookmarkStart w:id="0" w:name="_GoBack"/>
      <w:bookmarkEnd w:id="0"/>
      <w:r w:rsidRPr="00BB6EBC">
        <w:rPr>
          <w:rFonts w:ascii="Times New Roman" w:hAnsi="Times New Roman" w:cs="Times New Roman"/>
          <w:sz w:val="26"/>
          <w:szCs w:val="26"/>
        </w:rPr>
        <w:t>ы педагогических работников образовательных учреждений общего образования до средней заработной платы в соответствующем регионе;</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работников учреждений культуры до средней заработной платы в соответствующем регионе;</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повышение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увеличение к 2020 году числа высококвалифицированных работников, с тем чтобы оно составляло не менее трети от числа квалифицированных работников;</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создание ежегодно в период с 2013 по 2015 год до 14,2 тыс. специальных рабочих мест для инвалидов;</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б) подготовить и внести до 1 сентября 2012 г.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разработки, утверждения и применения профессиональных стандартов;</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 xml:space="preserve">в) утвердить до 1 декабря 2012 г. </w:t>
      </w:r>
      <w:hyperlink r:id="rId4" w:history="1">
        <w:r w:rsidRPr="00BB6EBC">
          <w:rPr>
            <w:rFonts w:ascii="Times New Roman" w:hAnsi="Times New Roman" w:cs="Times New Roman"/>
            <w:color w:val="0000FF"/>
            <w:sz w:val="26"/>
            <w:szCs w:val="26"/>
          </w:rPr>
          <w:t>план</w:t>
        </w:r>
      </w:hyperlink>
      <w:r w:rsidRPr="00BB6EBC">
        <w:rPr>
          <w:rFonts w:ascii="Times New Roman" w:hAnsi="Times New Roman" w:cs="Times New Roman"/>
          <w:sz w:val="26"/>
          <w:szCs w:val="26"/>
        </w:rPr>
        <w:t xml:space="preserve"> разработки профессиональных стандартов;</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 xml:space="preserve">г) разработать к 2015 году и утвердить не менее 800 </w:t>
      </w:r>
      <w:hyperlink r:id="rId5" w:history="1">
        <w:r w:rsidRPr="00BB6EBC">
          <w:rPr>
            <w:rFonts w:ascii="Times New Roman" w:hAnsi="Times New Roman" w:cs="Times New Roman"/>
            <w:color w:val="0000FF"/>
            <w:sz w:val="26"/>
            <w:szCs w:val="26"/>
          </w:rPr>
          <w:t>профессиональных стандартов</w:t>
        </w:r>
      </w:hyperlink>
      <w:r w:rsidRPr="00BB6EBC">
        <w:rPr>
          <w:rFonts w:ascii="Times New Roman" w:hAnsi="Times New Roman" w:cs="Times New Roman"/>
          <w:sz w:val="26"/>
          <w:szCs w:val="26"/>
        </w:rPr>
        <w:t>;</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д) в целях выработки единых принципов оценки профессиональной подготовки рабочих кадров:</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подготовить и до 1 августа 2014 г. внести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порядка аккредитации организаций, осуществляющих деятельность по повышению профессионального уровня рабочих кадров;</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lastRenderedPageBreak/>
        <w:t xml:space="preserve">создать в установленном порядке до 1 декабря 2015 г. </w:t>
      </w:r>
      <w:hyperlink r:id="rId6" w:history="1">
        <w:r w:rsidRPr="00BB6EBC">
          <w:rPr>
            <w:rFonts w:ascii="Times New Roman" w:hAnsi="Times New Roman" w:cs="Times New Roman"/>
            <w:color w:val="0000FF"/>
            <w:sz w:val="26"/>
            <w:szCs w:val="26"/>
          </w:rPr>
          <w:t>базовый центр</w:t>
        </w:r>
      </w:hyperlink>
      <w:r w:rsidRPr="00BB6EBC">
        <w:rPr>
          <w:rFonts w:ascii="Times New Roman" w:hAnsi="Times New Roman" w:cs="Times New Roman"/>
          <w:sz w:val="26"/>
          <w:szCs w:val="26"/>
        </w:rPr>
        <w:t xml:space="preserve"> профессиональной подготовки, переподготовки и повышения квалификации рабочих кадров;</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 xml:space="preserve">е) в целях сохранения кадрового потенциала, повышения престижности и привлекательности профессий в бюджетном секторе экономики принять до 1 декабря 2012 г. </w:t>
      </w:r>
      <w:hyperlink r:id="rId7" w:history="1">
        <w:r w:rsidRPr="00BB6EBC">
          <w:rPr>
            <w:rFonts w:ascii="Times New Roman" w:hAnsi="Times New Roman" w:cs="Times New Roman"/>
            <w:color w:val="0000FF"/>
            <w:sz w:val="26"/>
            <w:szCs w:val="26"/>
          </w:rPr>
          <w:t>программу</w:t>
        </w:r>
      </w:hyperlink>
      <w:r w:rsidRPr="00BB6EBC">
        <w:rPr>
          <w:rFonts w:ascii="Times New Roman" w:hAnsi="Times New Roman" w:cs="Times New Roman"/>
          <w:sz w:val="26"/>
          <w:szCs w:val="26"/>
        </w:rPr>
        <w:t xml:space="preserve"> поэтапного совершенствования системы оплаты труда работников бюджетного сектора экономики, обусловив повышение оплаты труда достижением конкретных показателей качества и количества оказываемых услуг и предусмотрев:</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повышение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 до 200 процентов от средней заработной платы в соответствующем регионе;</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установление базовых окладов по профессиональным квалификационным группам;</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повышение заработной платы работников бюджетного сектора экономики с возможным привлечением на эти цели не менее трети средств, получаемых за счет реорганизации неэффективных организаций;</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ж) создать прозрачный механизм оплаты труда руководителей организаций, финансируемых за счет бюджетных ассигнований федерального бюджета, установив соотношение средней заработной платы руководителей и работников этих организаций и предусмотрев представление руководителями этих организаций сведений о доходах, об имуществе и обязательствах имущественного характера;</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з) в целях расширения участия работников в управлении организациями:</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подготовить до 1 декабря 2012 г. предложения по внесению в законодательство Российской Федерации изменений, касающихся создания в организациях производственных советов, а также определения их полномочий;</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разработать комплекс мероприятий по развитию институтов самоуправления и принятию кодексов профессиональной этики;</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и) представить к 1 марта 2013 г. предложения об использовании в отдельных отраслях бюджетного сектора экономики механизма нормативно-</w:t>
      </w:r>
      <w:proofErr w:type="spellStart"/>
      <w:r w:rsidRPr="00BB6EBC">
        <w:rPr>
          <w:rFonts w:ascii="Times New Roman" w:hAnsi="Times New Roman" w:cs="Times New Roman"/>
          <w:sz w:val="26"/>
          <w:szCs w:val="26"/>
        </w:rPr>
        <w:t>подушевого</w:t>
      </w:r>
      <w:proofErr w:type="spellEnd"/>
      <w:r w:rsidRPr="00BB6EBC">
        <w:rPr>
          <w:rFonts w:ascii="Times New Roman" w:hAnsi="Times New Roman" w:cs="Times New Roman"/>
          <w:sz w:val="26"/>
          <w:szCs w:val="26"/>
        </w:rPr>
        <w:t xml:space="preserve"> финансирования;</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к) совместно с общественными организациями до 1 апреля 2013 г. обеспечить формирование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 xml:space="preserve">л) </w:t>
      </w:r>
      <w:proofErr w:type="gramStart"/>
      <w:r w:rsidRPr="00BB6EBC">
        <w:rPr>
          <w:rFonts w:ascii="Times New Roman" w:hAnsi="Times New Roman" w:cs="Times New Roman"/>
          <w:sz w:val="26"/>
          <w:szCs w:val="26"/>
        </w:rPr>
        <w:t>предусмотреть</w:t>
      </w:r>
      <w:proofErr w:type="gramEnd"/>
      <w:r w:rsidRPr="00BB6EBC">
        <w:rPr>
          <w:rFonts w:ascii="Times New Roman" w:hAnsi="Times New Roman" w:cs="Times New Roman"/>
          <w:sz w:val="26"/>
          <w:szCs w:val="26"/>
        </w:rPr>
        <w:t xml:space="preserve"> начиная с 2013 года меры, направленные на увеличение поддержки социально ориентированных некоммерческих организаций;</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 xml:space="preserve">м) разработать до 1 октября 2012 г. проект </w:t>
      </w:r>
      <w:hyperlink r:id="rId8" w:history="1">
        <w:r w:rsidRPr="00BB6EBC">
          <w:rPr>
            <w:rFonts w:ascii="Times New Roman" w:hAnsi="Times New Roman" w:cs="Times New Roman"/>
            <w:color w:val="0000FF"/>
            <w:sz w:val="26"/>
            <w:szCs w:val="26"/>
          </w:rPr>
          <w:t>Стратегии</w:t>
        </w:r>
      </w:hyperlink>
      <w:r w:rsidRPr="00BB6EBC">
        <w:rPr>
          <w:rFonts w:ascii="Times New Roman" w:hAnsi="Times New Roman" w:cs="Times New Roman"/>
          <w:sz w:val="26"/>
          <w:szCs w:val="26"/>
        </w:rPr>
        <w:t xml:space="preserve"> долгосрочного развития пенсионной системы, предусмотрев в нем механизм увеличения размера пенсии гражданам, выразившим намерение продолжать работать по достижении пенсионного возраста и принявшим решение отсрочить назначение пенсии, а также </w:t>
      </w:r>
      <w:r w:rsidRPr="00BB6EBC">
        <w:rPr>
          <w:rFonts w:ascii="Times New Roman" w:hAnsi="Times New Roman" w:cs="Times New Roman"/>
          <w:sz w:val="26"/>
          <w:szCs w:val="26"/>
        </w:rPr>
        <w:lastRenderedPageBreak/>
        <w:t>определив меры, гарантирующие сохранность пенсионных накоплений и обеспечивающие доходность от их инвестирования;</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н) в целях дальнейшего сохранения и развития российской культуры:</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создать к 2015 году в малых городах не менее пяти центров культурного развития;</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 xml:space="preserve">включать ежегодно в </w:t>
      </w:r>
      <w:hyperlink r:id="rId9" w:history="1">
        <w:r w:rsidRPr="00BB6EBC">
          <w:rPr>
            <w:rFonts w:ascii="Times New Roman" w:hAnsi="Times New Roman" w:cs="Times New Roman"/>
            <w:color w:val="0000FF"/>
            <w:sz w:val="26"/>
            <w:szCs w:val="26"/>
          </w:rPr>
          <w:t>Национальную электронную библиотеку</w:t>
        </w:r>
      </w:hyperlink>
      <w:r w:rsidRPr="00BB6EBC">
        <w:rPr>
          <w:rFonts w:ascii="Times New Roman" w:hAnsi="Times New Roman" w:cs="Times New Roman"/>
          <w:sz w:val="26"/>
          <w:szCs w:val="26"/>
        </w:rPr>
        <w:t xml:space="preserve"> не менее 10 процентов издаваемых в Российской Федерации наименований книг;</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обеспечить поддержку создания публичных электронных библиотек, сайтов музеев и театров в информационно-телекоммуникационной сети Интернет, а также размещение в свободном бесплатном доступе в сети Интернет фильмов и спектаклей выдающихся режиссеров кино и театра;</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обеспечить увеличение до 1 октября 2012 г. бюджетных ассигнований федерального бюджета на выплату стипендий для деятелей культуры и искусства, творческой молодежи, а также на предоставление грантов для поддержки творческих проектов общенационального значения в области культуры и искусства;</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обеспечить создание до 1 марта 2013 г. передвижного фонда ведущих российских музеев для экспонирования произведений искусства в музеях и галереях малых и средних городов, а также создать к 2018 году 27 виртуальных музеев;</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увеличить к 2018 году в два раза количество выставочных проектов, осуществляемых в субъектах Российской Федерации;</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увеличить к 2015 году до 4 тыс. количество государственных стипендий для выдающихся деятелей культуры и искусства и молодых талантливых авторов;</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увеличить к 2018 году в целях выявления и поддержки юных талантов число детей, привлекаемых к участию в творческих мероприятиях, до 8 процентов от общего числа детей.</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2. Правительству Российской Федерации совместно с органами исполнительной власти субъектов Российской Федерации:</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а) обеспечить до 1 августа 2012 г. разработку нормативных правовых актов, предусматривающих реализацию мер по поэтапному повышению заработной платы работников культуры;</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б) разработать до 1 ноября 2012 г. комплекс мер по расширению практики обмена выставками между музеями Российской Федерации, по работе музеев в вечернее и ночное время и обеспечить их реализацию;</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 xml:space="preserve">в) разработать до 1 ноября 2012 г. </w:t>
      </w:r>
      <w:hyperlink r:id="rId10" w:history="1">
        <w:r w:rsidRPr="00BB6EBC">
          <w:rPr>
            <w:rFonts w:ascii="Times New Roman" w:hAnsi="Times New Roman" w:cs="Times New Roman"/>
            <w:color w:val="0000FF"/>
            <w:sz w:val="26"/>
            <w:szCs w:val="26"/>
          </w:rPr>
          <w:t>комплекс</w:t>
        </w:r>
      </w:hyperlink>
      <w:r w:rsidRPr="00BB6EBC">
        <w:rPr>
          <w:rFonts w:ascii="Times New Roman" w:hAnsi="Times New Roman" w:cs="Times New Roman"/>
          <w:sz w:val="26"/>
          <w:szCs w:val="26"/>
        </w:rPr>
        <w:t xml:space="preserve"> мер, направленных на повышение эффективности реализации мероприятий по содействию трудоустройству инвалидов, на обеспечение доступности профессионального образования, включая совершенствование методов профессиональной ориентации детей-инвалидов и лиц с ограниченными возможностями здоровья, на подготовку специализированных программ профессионального обучения инвалидов с учетом особенностей их психофизического развития и индивидуальных возможностей, а также индивидуальных программ реабилитации инвалидов, на создание условий для повышения уровня занятости инвалидов, в том числе на оборудованных (оснащенных) для них рабочих местах.</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t>3. Правительству Российской Федерации, органам исполнительной власти субъектов Российской Федерации предусмотреть при формировании соответственно федерального бюджета и бюджетов субъектов Российской Федерации на 2013 год и на плановый период 2014 и 2015 годов бюджетные ассигнования на реализацию мер, предусмотренных настоящим Указом.</w:t>
      </w:r>
    </w:p>
    <w:p w:rsidR="00BB6EBC" w:rsidRPr="00BB6EBC" w:rsidRDefault="00BB6EBC">
      <w:pPr>
        <w:pStyle w:val="ConsPlusNormal"/>
        <w:ind w:firstLine="540"/>
        <w:jc w:val="both"/>
        <w:rPr>
          <w:rFonts w:ascii="Times New Roman" w:hAnsi="Times New Roman" w:cs="Times New Roman"/>
          <w:sz w:val="26"/>
          <w:szCs w:val="26"/>
        </w:rPr>
      </w:pPr>
      <w:r w:rsidRPr="00BB6EBC">
        <w:rPr>
          <w:rFonts w:ascii="Times New Roman" w:hAnsi="Times New Roman" w:cs="Times New Roman"/>
          <w:sz w:val="26"/>
          <w:szCs w:val="26"/>
        </w:rPr>
        <w:lastRenderedPageBreak/>
        <w:t>4. Настоящий Указ вступает в силу со дня его официального опубликования.</w:t>
      </w:r>
    </w:p>
    <w:p w:rsidR="00BB6EBC" w:rsidRPr="00BB6EBC" w:rsidRDefault="00BB6EBC">
      <w:pPr>
        <w:pStyle w:val="ConsPlusNormal"/>
        <w:ind w:firstLine="540"/>
        <w:jc w:val="both"/>
        <w:rPr>
          <w:rFonts w:ascii="Times New Roman" w:hAnsi="Times New Roman" w:cs="Times New Roman"/>
          <w:sz w:val="26"/>
          <w:szCs w:val="26"/>
        </w:rPr>
      </w:pPr>
    </w:p>
    <w:p w:rsidR="00BB6EBC" w:rsidRPr="00BB6EBC" w:rsidRDefault="00BB6EBC">
      <w:pPr>
        <w:pStyle w:val="ConsPlusNormal"/>
        <w:jc w:val="right"/>
        <w:rPr>
          <w:rFonts w:ascii="Times New Roman" w:hAnsi="Times New Roman" w:cs="Times New Roman"/>
          <w:sz w:val="26"/>
          <w:szCs w:val="26"/>
        </w:rPr>
      </w:pPr>
      <w:r w:rsidRPr="00BB6EBC">
        <w:rPr>
          <w:rFonts w:ascii="Times New Roman" w:hAnsi="Times New Roman" w:cs="Times New Roman"/>
          <w:sz w:val="26"/>
          <w:szCs w:val="26"/>
        </w:rPr>
        <w:t>Президент</w:t>
      </w:r>
    </w:p>
    <w:p w:rsidR="00BB6EBC" w:rsidRPr="00BB6EBC" w:rsidRDefault="00BB6EBC">
      <w:pPr>
        <w:pStyle w:val="ConsPlusNormal"/>
        <w:jc w:val="right"/>
        <w:rPr>
          <w:rFonts w:ascii="Times New Roman" w:hAnsi="Times New Roman" w:cs="Times New Roman"/>
          <w:sz w:val="26"/>
          <w:szCs w:val="26"/>
        </w:rPr>
      </w:pPr>
      <w:r w:rsidRPr="00BB6EBC">
        <w:rPr>
          <w:rFonts w:ascii="Times New Roman" w:hAnsi="Times New Roman" w:cs="Times New Roman"/>
          <w:sz w:val="26"/>
          <w:szCs w:val="26"/>
        </w:rPr>
        <w:t>Российской Федерации</w:t>
      </w:r>
    </w:p>
    <w:p w:rsidR="00BB6EBC" w:rsidRPr="00BB6EBC" w:rsidRDefault="00BB6EBC">
      <w:pPr>
        <w:pStyle w:val="ConsPlusNormal"/>
        <w:jc w:val="right"/>
        <w:rPr>
          <w:rFonts w:ascii="Times New Roman" w:hAnsi="Times New Roman" w:cs="Times New Roman"/>
          <w:sz w:val="26"/>
          <w:szCs w:val="26"/>
        </w:rPr>
      </w:pPr>
      <w:r w:rsidRPr="00BB6EBC">
        <w:rPr>
          <w:rFonts w:ascii="Times New Roman" w:hAnsi="Times New Roman" w:cs="Times New Roman"/>
          <w:sz w:val="26"/>
          <w:szCs w:val="26"/>
        </w:rPr>
        <w:t>В.ПУТИН</w:t>
      </w:r>
    </w:p>
    <w:p w:rsidR="00BB6EBC" w:rsidRPr="00BB6EBC" w:rsidRDefault="00BB6EBC">
      <w:pPr>
        <w:pStyle w:val="ConsPlusNormal"/>
        <w:rPr>
          <w:rFonts w:ascii="Times New Roman" w:hAnsi="Times New Roman" w:cs="Times New Roman"/>
          <w:sz w:val="26"/>
          <w:szCs w:val="26"/>
        </w:rPr>
      </w:pPr>
      <w:r w:rsidRPr="00BB6EBC">
        <w:rPr>
          <w:rFonts w:ascii="Times New Roman" w:hAnsi="Times New Roman" w:cs="Times New Roman"/>
          <w:sz w:val="26"/>
          <w:szCs w:val="26"/>
        </w:rPr>
        <w:t>Москва, Кремль</w:t>
      </w:r>
    </w:p>
    <w:p w:rsidR="00BB6EBC" w:rsidRPr="00BB6EBC" w:rsidRDefault="00BB6EBC">
      <w:pPr>
        <w:pStyle w:val="ConsPlusNormal"/>
        <w:rPr>
          <w:rFonts w:ascii="Times New Roman" w:hAnsi="Times New Roman" w:cs="Times New Roman"/>
          <w:sz w:val="26"/>
          <w:szCs w:val="26"/>
        </w:rPr>
      </w:pPr>
      <w:r w:rsidRPr="00BB6EBC">
        <w:rPr>
          <w:rFonts w:ascii="Times New Roman" w:hAnsi="Times New Roman" w:cs="Times New Roman"/>
          <w:sz w:val="26"/>
          <w:szCs w:val="26"/>
        </w:rPr>
        <w:t>7 мая 2012 года</w:t>
      </w:r>
    </w:p>
    <w:p w:rsidR="00BB6EBC" w:rsidRPr="00BB6EBC" w:rsidRDefault="00BB6EBC">
      <w:pPr>
        <w:pStyle w:val="ConsPlusNormal"/>
        <w:rPr>
          <w:rFonts w:ascii="Times New Roman" w:hAnsi="Times New Roman" w:cs="Times New Roman"/>
          <w:sz w:val="26"/>
          <w:szCs w:val="26"/>
        </w:rPr>
      </w:pPr>
      <w:r w:rsidRPr="00BB6EBC">
        <w:rPr>
          <w:rFonts w:ascii="Times New Roman" w:hAnsi="Times New Roman" w:cs="Times New Roman"/>
          <w:sz w:val="26"/>
          <w:szCs w:val="26"/>
        </w:rPr>
        <w:t>N 597</w:t>
      </w:r>
    </w:p>
    <w:p w:rsidR="00BB6EBC" w:rsidRPr="00BB6EBC" w:rsidRDefault="00BB6EBC">
      <w:pPr>
        <w:pStyle w:val="ConsPlusNormal"/>
        <w:ind w:firstLine="540"/>
        <w:jc w:val="both"/>
        <w:rPr>
          <w:rFonts w:ascii="Times New Roman" w:hAnsi="Times New Roman" w:cs="Times New Roman"/>
          <w:sz w:val="26"/>
          <w:szCs w:val="26"/>
        </w:rPr>
      </w:pPr>
    </w:p>
    <w:p w:rsidR="00BB6EBC" w:rsidRPr="00BB6EBC" w:rsidRDefault="00BB6EBC">
      <w:pPr>
        <w:pStyle w:val="ConsPlusNormal"/>
        <w:ind w:firstLine="540"/>
        <w:jc w:val="both"/>
        <w:rPr>
          <w:rFonts w:ascii="Times New Roman" w:hAnsi="Times New Roman" w:cs="Times New Roman"/>
          <w:sz w:val="26"/>
          <w:szCs w:val="26"/>
        </w:rPr>
      </w:pPr>
    </w:p>
    <w:p w:rsidR="00BB6EBC" w:rsidRPr="00BB6EBC" w:rsidRDefault="00BB6EBC">
      <w:pPr>
        <w:pStyle w:val="ConsPlusNormal"/>
        <w:pBdr>
          <w:top w:val="single" w:sz="6" w:space="0" w:color="auto"/>
        </w:pBdr>
        <w:spacing w:before="100" w:after="100"/>
        <w:jc w:val="both"/>
        <w:rPr>
          <w:rFonts w:ascii="Times New Roman" w:hAnsi="Times New Roman" w:cs="Times New Roman"/>
          <w:sz w:val="26"/>
          <w:szCs w:val="26"/>
        </w:rPr>
      </w:pPr>
    </w:p>
    <w:p w:rsidR="008A01BE" w:rsidRPr="00BB6EBC" w:rsidRDefault="008A01BE">
      <w:pPr>
        <w:rPr>
          <w:rFonts w:ascii="Times New Roman" w:hAnsi="Times New Roman" w:cs="Times New Roman"/>
          <w:sz w:val="26"/>
          <w:szCs w:val="26"/>
        </w:rPr>
      </w:pPr>
    </w:p>
    <w:sectPr w:rsidR="008A01BE" w:rsidRPr="00BB6EBC" w:rsidSect="00BB6EB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EBC"/>
    <w:rsid w:val="005F0686"/>
    <w:rsid w:val="00661496"/>
    <w:rsid w:val="008A01BE"/>
    <w:rsid w:val="00BB6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77C8"/>
  <w15:chartTrackingRefBased/>
  <w15:docId w15:val="{CBDEBDDD-D479-4262-BEC5-AF8BD0C4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6E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6E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B6EB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164C05F851AE88F661B6FD208FC71D94D1A6E55A54B18BF400D82F6F317FCEB19E555C7B91662CG3F8P" TargetMode="External"/><Relationship Id="rId3" Type="http://schemas.openxmlformats.org/officeDocument/2006/relationships/webSettings" Target="webSettings.xml"/><Relationship Id="rId7" Type="http://schemas.openxmlformats.org/officeDocument/2006/relationships/hyperlink" Target="consultantplus://offline/ref=0F164C05F851AE88F661B6FD208FC71D94DAA9EE5655B18BF400D82F6F317FCEB19E555C7B91662CG3F9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F164C05F851AE88F661B6FD208FC71D97D2AAEA5555B18BF400D82F6F317FCEB19E555C7B91662CG3F3P" TargetMode="External"/><Relationship Id="rId11" Type="http://schemas.openxmlformats.org/officeDocument/2006/relationships/fontTable" Target="fontTable.xml"/><Relationship Id="rId5" Type="http://schemas.openxmlformats.org/officeDocument/2006/relationships/hyperlink" Target="consultantplus://offline/ref=0F164C05F851AE88F661B6FD208FC71D94D7A8E85153B18BF400D82F6FG3F1P" TargetMode="External"/><Relationship Id="rId10" Type="http://schemas.openxmlformats.org/officeDocument/2006/relationships/hyperlink" Target="consultantplus://offline/ref=0F164C05F851AE88F661B6FD208FC71D94D1A9EA5052B18BF400D82F6F317FCEB19E555C7B91662CG3F9P" TargetMode="External"/><Relationship Id="rId4" Type="http://schemas.openxmlformats.org/officeDocument/2006/relationships/hyperlink" Target="consultantplus://offline/ref=0F164C05F851AE88F661B6FD208FC71D94D4AEEF5053B18BF400D82F6F317FCEB19E555C7B91662DG3F1P" TargetMode="External"/><Relationship Id="rId9" Type="http://schemas.openxmlformats.org/officeDocument/2006/relationships/hyperlink" Target="consultantplus://offline/ref=0F164C05F851AE88F661B6FD208FC71D97D2AEEC515DB18BF400D82F6F317FCEB19E555EG7F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1427</Words>
  <Characters>8138</Characters>
  <Application>Microsoft Office Word</Application>
  <DocSecurity>0</DocSecurity>
  <Lines>67</Lines>
  <Paragraphs>19</Paragraphs>
  <ScaleCrop>false</ScaleCrop>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2017-06-05T15:05:00Z</dcterms:created>
  <dcterms:modified xsi:type="dcterms:W3CDTF">2017-06-05T15:07:00Z</dcterms:modified>
</cp:coreProperties>
</file>